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9516F" w:rsidRPr="0039516F" w:rsidTr="0039516F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9516F" w:rsidRPr="0039516F" w:rsidRDefault="0039516F" w:rsidP="0039516F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Na temelju članka 100. Zakona o prostornom uređenju i gradnji (Narodne novine broj 67/07) te članka 9. Statuta Općine Brckovljani (Službeni glasnik Općine Brckovljani 05/01 i 10/06) Općinsko vijeće Općine Brckovljani na 31. sjednici održanoj 07.04.2009. godine, donijelo je</w:t>
            </w:r>
          </w:p>
        </w:tc>
        <w:tc>
          <w:tcPr>
            <w:tcW w:w="1100" w:type="pct"/>
            <w:vAlign w:val="center"/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516F" w:rsidRPr="0039516F" w:rsidRDefault="0039516F" w:rsidP="0039516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39516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donošenju Izmjena i dopuna Prostornog plana uređenja Općine Brckovljani</w:t>
      </w:r>
    </w:p>
    <w:p w:rsidR="0039516F" w:rsidRPr="0039516F" w:rsidRDefault="0039516F" w:rsidP="0039516F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TEMELJNE ODREDBE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Ovom Odlukom donose se Izmjene i dopune Prostornog plana uređenja Općine Brckovljani koji je izradio ARHEO d.o.o. iz Zagreba.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Sastavni dio ove Odluke je elaborat pod naslovom Izmjene i dopune Prostornog plana uređenja Općine Brckovljani (u jednoj knjizi) a sastoji se od:</w:t>
      </w:r>
    </w:p>
    <w:tbl>
      <w:tblPr>
        <w:tblW w:w="1003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46"/>
        <w:gridCol w:w="9789"/>
      </w:tblGrid>
      <w:tr w:rsidR="0039516F" w:rsidRPr="0039516F" w:rsidTr="0039516F">
        <w:trPr>
          <w:trHeight w:val="211"/>
        </w:trPr>
        <w:tc>
          <w:tcPr>
            <w:tcW w:w="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9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Opći dio</w:t>
            </w:r>
          </w:p>
        </w:tc>
      </w:tr>
      <w:tr w:rsidR="0039516F" w:rsidRPr="0039516F" w:rsidTr="0039516F">
        <w:trPr>
          <w:trHeight w:val="202"/>
        </w:trPr>
        <w:tc>
          <w:tcPr>
            <w:tcW w:w="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9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Obvezni prilozi</w:t>
            </w:r>
          </w:p>
        </w:tc>
      </w:tr>
      <w:tr w:rsidR="0039516F" w:rsidRPr="0039516F" w:rsidTr="0039516F">
        <w:trPr>
          <w:trHeight w:val="250"/>
        </w:trPr>
        <w:tc>
          <w:tcPr>
            <w:tcW w:w="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9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Izmjene i dopune Prostornog plana uređenja Općine Brckovljani</w:t>
            </w:r>
          </w:p>
        </w:tc>
      </w:tr>
    </w:tbl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II.  </w:t>
      </w:r>
      <w:r w:rsidRPr="0039516F">
        <w:rPr>
          <w:rFonts w:ascii="Arial" w:eastAsia="Times New Roman" w:hAnsi="Arial" w:cs="Arial"/>
          <w:color w:val="000000"/>
          <w:sz w:val="20"/>
        </w:rPr>
        <w:t> </w:t>
      </w:r>
      <w:r w:rsidRPr="0039516F">
        <w:rPr>
          <w:rFonts w:ascii="Arial" w:eastAsia="Times New Roman" w:hAnsi="Arial" w:cs="Arial"/>
          <w:color w:val="000000"/>
          <w:sz w:val="20"/>
          <w:szCs w:val="20"/>
        </w:rPr>
        <w:t>Grafički prilozi</w:t>
      </w:r>
    </w:p>
    <w:tbl>
      <w:tblPr>
        <w:tblW w:w="1096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729"/>
        <w:gridCol w:w="9383"/>
        <w:gridCol w:w="853"/>
      </w:tblGrid>
      <w:tr w:rsidR="0039516F" w:rsidRPr="0039516F" w:rsidTr="0039516F">
        <w:trPr>
          <w:trHeight w:val="221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0.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PREGLEDNA KARTA IZMJENA I DOPUNA PPUO BRCKOVLJANI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KORIŠTENJE I NAMJENA PROSTORA - PROSTORI ZA RAZVOJ I UREĐENJE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178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KORIŠTENJE I NAMJENA PROSTORA - PROMET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19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INFRASTRUKTURNI SUSTAVI I MREŽE - ENERGETSKI SUSTAV, POŠTA I TELEKOMUNIKACIJE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398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INFRASTRUKTURNI SUSTAVI I MREŽE - VODNOGOSPODARSKI SUSTAV, OBRADA, SKLADIŠTENJE I ODLAGANJE OTPADA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370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UVJETI ZA KORIŠTENJE, UREĐENJE I ZAŠTITU PROSTORA -PODRUČJA PRIMJENE POSEBNIH MJERA UREĐENJA I ZAŠTITE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1:25000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BOŽJAKOVINA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97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BRCKOVLJANI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73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GORNJA GREDA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206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GORNJE DVORIŠĆE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4.6.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GRAČEC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8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4.7.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HREBINEC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97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4.9.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LUPOGLAV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4.10.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PREČEC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9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4.11.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PRIKRAJ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87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4.12.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ŠTAKOROVEC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4.13.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STANČIĆ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197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4.13.a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STANČIĆ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  <w:tr w:rsidR="0039516F" w:rsidRPr="0039516F" w:rsidTr="0039516F">
        <w:trPr>
          <w:trHeight w:val="208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4.14.</w:t>
            </w:r>
          </w:p>
        </w:tc>
        <w:tc>
          <w:tcPr>
            <w:tcW w:w="9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GRAĐEVINSKO PODRUČJE NASELJA TEDROVEC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1:5000</w:t>
            </w:r>
          </w:p>
        </w:tc>
      </w:tr>
    </w:tbl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Izmjene i dopune Prostornog plana uređenja Općine Brckovljani izrađen je u skladu s Odlukom o izradi Izmjena i dopuna Prostornog plana uređenja (Službeni glasnik Općine Brckovljani 01/08).</w:t>
      </w:r>
    </w:p>
    <w:p w:rsidR="0039516F" w:rsidRPr="0039516F" w:rsidRDefault="0039516F" w:rsidP="0039516F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II.</w:t>
      </w:r>
      <w:r w:rsidRPr="0039516F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ODREDBE ZA PROVOĐENJE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4.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Ukida se kartografski prikaz 4.3. GRAĐEVINSKA PODRUČJA NASELJA DONJE DVORIŠĆE.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odredbama za provođenje, odnosno odluci o donošenju Prostornog plana uređenja općine Brckovljani (Službeni glasnik Općine Brckovljani 12/06) riječi: „lokacijska dozvola" zamjenjuju se riječima: "lokacijska dozvola odnosno drugi odgovarajući akt za građenje", u odgovarajućem rodu, broju i padežu.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cijelom tekstu, riječ: „objekt" zamjenjuje se riječju: „građevina" u odgovarajućem rodu, broju i padežu.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cijelom tekstu riječ: „krajolik" zamjenjuje se riječju: „krajobraz" u odgovarajućem rodu, broju i padežu.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cijelom tekstu iza riječi „podrum" dodaju se riječi „ili suteren" u odgovarajućem rodu, broju i padežu.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6. točka 8a se mijenja i glasi: Cestovne građevine s pripadajućim objektima i uređajima: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autocesta A3 - GP Bregana (granica Republike Slovenije - Zagreb - Slavonski Brod - GP Bajakovo - Republika Srbije)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državna cesta D41 - čvor Kraljevački Novaki A4 - Dugo Selo - čvor Vrbovec 1 (D28)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6. točka 8b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„željezničke građevine s pripadajućim objektima i uređajima: 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r w:rsidRPr="0039516F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39516F">
        <w:rPr>
          <w:rFonts w:ascii="Arial" w:eastAsia="Times New Roman" w:hAnsi="Arial" w:cs="Arial"/>
          <w:color w:val="000000"/>
          <w:sz w:val="20"/>
          <w:szCs w:val="20"/>
        </w:rPr>
        <w:t>glavna magistralna pruga: M 201 Mađarska (Gyekenyes) - Državna granica - Botovo - Koprivnica - Dugo Selo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magistralna pruga M 103 Dugo Selo - Novska."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Točka 8d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7. točka 11.1.1.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Cestovne građevine s pripadajućim objektima, uređajima i instalacijama: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a) županijske ceste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postojeće ceste 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sadašnje županijske ceste i lokalne ceste koje se planiraju Županijskim planom da postanu u rangu županijskih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32. dodaju se stavci koji glase: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Minimalna širina građevne čestice određuje se na građevinskom pravcu.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„Na neizgrađenom dijelu građevinskog područja moguća je gradnja bez prethodnog donošenja Urbanističkog plana uređenja ukoliko je čestica manja od 5000m2 i ima pristup na javno prometnu površinu koja je u skladu s odredbama ovog Plana.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Unutar građevinskog područja naselja za gradnju stambenih i stambeno-poslovnih građevina maksimalna građevinska bruto površina glavne građevine može iznositi do 400 m2, osim za područje obvezne izrade Urbanističkog plana uređenja Stambeno-poslovne zone Božjakovina, gdje je moguća gradnja većih građevina.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Iznimno udaljenost građevine od granice susjedne građevne čestice može biti manja od 3,0 m, ali ne manje od 1,0 m, ukoliko građevina nema otvore s te strane, ako su zadovoljeni protupožarni propisi, te je ishođena obostrana suglasnost susjeda."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lastRenderedPageBreak/>
        <w:t>U članku 8. točka 33. riječi .."iznositi najmanje 6,0 m." mijenjaju se i glase .." iznositi najmanje 4,0 m."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37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Minimalna udaljenost glavnih građevina na dvije susjedne građevne čestice je 4,0 m.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40.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41., 1. stavak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47. stavak 5 se mijenja i glasi:,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„Etaže građevine su: podrum (Po), suteren (S), prizemlje (P), katovi (K) i potkrovlje (Pk)."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48.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49.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,,U potkrovlju prozori mogu biti izvedeni na zabatnom zidu, u kosini krova ili kao stojeći krovni prozori. U potkrovlju se može planirati samo prostor u jednoj razini."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93.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„Udaljenost vanjskog ruba ulične ograde (regulacijska linija) od osi javne ceste određuje se: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za državne ceste 9,0 m,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za županijske ceste 8,0 m,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za lokalne ceste 7,50 m;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Iznimno, navedene udaljenosti mogu biti manje na područjima zaštićenih dijelova prirode, u izgrađenim dijelovima građevinskog područja i pojedinačnim interpolacijama, ovisno o reljefnim, pejzažnim i urbanim karakteristikama tih područja, kao i posebnim uvjetima nadležne uprave za upravljanje javnom cestom."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94.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„Udaljenost vanjskog ruba ulične ograde od osi nerazvrstane ceste ne može biti manja od 4,50 m."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18.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95.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19.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98. dodaje se stavak koji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Kod postojećih ulica udaljenost građevinske linije od osi prometnice ne može biti manja od 10,0 m osim u slučaju rekonstrukcije postojećeg objekta i interpolacije.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20.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102.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21,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118.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,,U zoni niske stambene izgradnje etažna visina stambeno-poslovne ili poslovne građevine kao glavne građevine ne može biti veća od podruma i/ili suterena i dvije (2) nadzemne etaže uz mogućnost gradnje potkrovlja (visina vijenca maks. 9,0 m),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22.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Stavak 119.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"Ispod stambene, stambeno-poslovne ili poslovne građevine kao glavne građevine modu se graditi podrumi i/ili sutereni, a tavanski prostori se mogu uređivati u potkrovlju visine nadozida maks. 1,20 m."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23.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120. se briše: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24.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125.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Gospodarske pomoćne i male poslovne građevine kao pomoćne građevine mogu biti najveće visine do prizemlja (visina vijenca maks. 6,0 m) uz mogućnost gradnje podruma i/ili suterena i potkrovlja s visinom nadozida 1,20 m, s time da potkrovlje nad pomoćnom građevinom ili manjom poslovnom pomoćnom građevinom ne može biti stambene namjene."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25.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8. točka 127.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Pomoćne građevine moraju biti udaljene od granice građevne čestice najmanje 3,0 m. Iznimno udaljenost pomoćne građevine može biti i manja ali ne manja od 1,0 m uz obostranu suglasnost susjeda i zadovoljavanje protupožarnih propisa.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Udaljenost pomoćne građevine mora biti najmanje 4,0 m od glavne građevine na susjednoj čestici.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26.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9. točka 148 b) mijenja se zadnja crtica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„- drvarnice, staje, pečenjare i ostale slične vrste poljoprivrednih građevina."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27.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9. točka 150 mijenja se prva rečenica i glasi: Građevine za rekreaciju i sadržaji koji koriste prirodne resurse su: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9. točka 150 dodaju se crtice koje glase: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staze i šetnice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sportsko ekonomski ribnjaci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- otvorene terase, sjenice, dječja igrališta, parkovi, te tereni namijenjeni za sport i rekreaciju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28.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9. točka 154. mijenja se i glasi: „Gradnja građevina i sadržaja poljoprivrednog, odnosno stočarskog gospodarstva izvan građevinskog područja moguća je prema propozicijama za građevine gospodarske djelatnosti."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29.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9. točka 157. na kraju stavka dodaju se riječi: ,,i potkrovlja"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30.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175.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„Zone gospodarskih djelatnosti - proizvodnih - pretežito industrijskih (I-1) mogu sadržavati industrijske građevine, skladišta, servise i zanatsku proizvodnju.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Unutar zone gospodarske namjene (G) mogu se planirati svi sadržaji Gospodarskih djelatnosti proizvodnih -pretežito industrijskih (I-1) i pretežito poslovnih (K)."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31.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180.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„Zone gospodarskih djelatnosti - poslovnih - pretežito poslovnih (K) mogu sadržavati proizvodne djelatnosti, industrijske djelatnosti, uslužne, trgovačke i veletrgovačka sadržaje, skladišta, urede, komunlano-servisne sadržaje i slično.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osnovnu djelatnost moguće je na površinama gospodarske namjene razviti i drugu djelatnost - prateću ili u funkciji osnovne djelatnosti na način da ona ne ometa proces osnovne djelatnosti."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32.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181. zadnja crtica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„- deponija otpada i uređaja za zbrinjavanje otpada, osim gradnje reciklažnog dvorišta unutar gospodarskih zona Stančić."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33.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183. u prvoj rečenici iza riječi "..namjene.." dodaju se riječi ..."unutar zona gospodarske djelatnosti.."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183. mijenja se rečenica „Najveći dopušteni broj etaža građevina je E=3 (prizemlje, dvije etaže i potkrovlje)"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„Najveći dopušteni broj etaža građevina je Po(Su)+P+2+Pt."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11. točka 183. posljednja rečenica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„Najveća visina nadozida potkrovlja je 1,20 m, a najveća visina sljemena krova od gornje kote stropne konstrukcije zadnje etaže je 4,20 m."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34.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13. točka 218. dodaje se crtica koja glasi: - visina sljemena krova od gornje kote zadnje ploče je maximalno 3,5 m.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35.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13. točka 255. rečenica: „Podrum može biti izdignut iznad kote uređenog terena max. 1,2 m, a nadozid na potkrovlju max. visine do 1,5 m." se briše.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36.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17. točka 256. dodaje se nova rečenica koja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„Izuzetno, širina kolnika može biti manja u gusto izgrađenim naslijeđenim dijelovima naselja."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37.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17. točka 259. brišu se crtice 2 i 4, te se dodaje crtica koja glasi: „- uz trase željezničkih pruga treba predvidjeti zaštitne pojaseve u širinama prema propisima iz područja željezničkog prometa."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38.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17. točka 268. na kraju druge rečenice briše se točka, stavlja zarez i dodaju riječi: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"i mogu se produljiti za najviše 50 m ukoliko su u funkciji pristupa za manje od 20 postojećih građevina."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39.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17 dodaje se točka 269a. koja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„Potrebno je osigurati zaštitni pojas autoceste koji se mjeri od vanjskog ruba zemljišnog pojasa autoceste, a iznosi minimalno 40 m sa svake strane. Unutar zaštitnog pojasa nije dozvoljeno planiranje nikakvih objekata visokogradnje (poslovnih, stambenih i drugih građevina).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Ukoliko se zbog prostornih ograničenja ukaže potreba za izgradnjom objekta visokogradnje unutar zaštitnog pojasa autoceste, potrebno je idejno rješenje zahvata dostaviti u Hrvatske autoceste na razmatranje. Daljnja razrada projekta i provedba upravnog postupka moguća je isključivo uz pisanu suglasnost Hrvatskih autocesta za dostavljeno idejno rješenje.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Zabranjuje se postavljanje svih vizualnih efekata koji mogu ometati pažnju vozača na autocesti (reklamni panoi, rasvjeta i dr) unutar zaštitnog pojasa autoceste a koji je definiran Zakonom o javnim cestama.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Obveza Investitora budućih objekata unutar zone obuhvata Plana, a koji se nalaze u blizini trase autoceste, je planiranje i izgradnja zidova za zaštitu od buke, ukoliko se pokaže potreba za izvođenjem istih."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40.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18 točka 273.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„Za izgrađenu telekomunikacijsku infrastrukturu za pružanje javnih telekomunikacijskih usluga putem telekomunikacijskih vodova planira se dogradnja odnosno rekonstrukcija te proširenje izgradnjom novih građevina, radi implementacije novih tehnologija i/ili kolokacija odnosno potreba novih operatora, vodeći računa o pravu zajedničkog korištenja od strane svih operatora koji posjeduju propisanu dozvolu za pružanje telekomunikacijskih usluga za koje nije potrebna uporaba radio frekvencijskog spektra.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Novu TK infrastrukturu za pružanje TK usluga putem elektromagnetskih valova, bez korištenja vodova, odrediti planiranjem baznih stanica i njihovih antenskih sustava na antenskim prihvatima na izgrađenim građevinama unutar građevinskog područja naselja. Postava antenskih sustava na rešetkastim i/ili jednocijevnim stupovima visine do 65m moguća je izvan građevinskog područja naselja, na udaljenosti od minimalno 200m od građevinskog područja naselja i na izdvojenim građevinskim područjima gospodarske namjene, vodeći računa o mogućnosti pokrivanja tih područja radijskim signalom koji će se emitirati radijskim sustavima smještenim na te antenske prihvate (zgrade ili stupove) uz načelo zajedničkog korištenja od strane svih operatora - koncesionara gdje god je to moguće. Samostojeći antenski stupovi baznih postaja ne moraju biti ucrtani u kartografskim prikazima 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41.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20. dodaje se točka 277a. koja glasi 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„Na području gospodarske zone Božjakovina planirano je izmještanje planiranog dalekovoda 110 kV i postojećeg plinovoda DN 110 (Dugo Selo -Vrbovec - Bjelovar). Izmještanje navedene infrastrukture treba provoditi uz suglasnost nadležnih distributera."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42.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26. točka 313 se mijenja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UVJETE I MJERE ZAŠTITE PRIRODE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lastRenderedPageBreak/>
        <w:t>U planiranju i uređenju prostora kao i u planiranju i korištenju prirodnih dobara treba osigurati očuvanje značajnih i karakterističnih obilježja krajobraza te bioloških, geoloških i kulturnih vrijednosti koje određuju njegov značaj i estetski doživljaj.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Zahvate u prirodu planirati na način da se izbjegnu ili na najmanju mjeru svedu oštećenja prirode, odnosno prirodnih vrijednosti.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Zbog velikog udjela poljoprivrednog i šumskog zemljišta u obuhvatu područja Općine Brckovljani, a u svrhu očuvanja biološke i krajobrazne raznolikosti predmetnog područja potrebno je na oranicama očuvati vrijedna i ugrožena rubna staništa (živice, pojedinačna stabla, skupine stabala, bare i livadne pojaseve). Prilikom planiranja i izvođenja okrupnjavanja poljoprivrednog zemljišta u što većoj mjeri očuvati postojeća ili stvoriti nova staništa te isplanirati njihov raspored i veličinu na način da se osigura najveća vrijednost staništa za biološku i krajobraznu raznolikost.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Pošumljavanje, gdje to dopuštaju uvjeti staništa, obavljati autohtonim vrstama drveća u sastavu koji odražava prirodni sastav, koristeći prirodi bliske metode, a pošumljavanje nešumskih površina gdje je to opravdano obavijati na način da se ne ugrožavaju ugroženi nešumski i rijetki stanišni tipovi.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vlažnim staništima posebice onim uz rijeku Lonju nije dopušteno pregrađivanje vodotokova, isušivanje, zatrpavanje izvora, bara i dr. , ako se time ugrožava opstanak prirodnih vrijednosti i očuvanje biološke raznolikosti.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Zabranjeno je graditi građevine ili gospodarski koristiti prirodna dobra oko prirodnih izvora, uz obale prirodnih i doprirodnih vodotoka te vlažnih područja, ako to nije dopušteno posebnim propisom ili dokumentima Unutar planiranih građevinskih područja, potrebno je osigurati međusobnu povezanost istih stanišnih tipova, čuvati postojeće i umjetno stvarati zelene površine, drveće, skupine stabala, vode te druga staništa, dajući prednost autohtonim vrstama i staništima.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planiranju i uređenju prostora voditi računa o prostorno oblikovnim kriterijima elemenata urbane opreme (tradicijskim/autohtonim materijalima i načinu gradnje i dr.), njihovoj kvaliteti i uklapanju u krajobraz.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43.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30. točka 351. dodaje se crtica koja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 - oborinske vode prije ispuštanja u recipijent tretirati preko separatora ulja i masti."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44.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38. točka 370.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„Spojni kanal Zelina-Lonja-Glogovnica-Česma (Z-L-G-Č) uvjetovan je izgrađen radi reguliranja visokih voda iz sliva Lonje i Zeline u dijelu Općine Brckovljani."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45.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 članku 43. točka 378. mijenja se i glasi: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„Granice urbanističkih planova uređenja označene su na grafičkim prikazima: "Područja primjene posebnih mjera uređenja i zaštite" te "Granice građevinskih područja naselja".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Popis područja za koja je obvezna izrada urbanističkih i detaljnih planova uređenja: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18"/>
        <w:gridCol w:w="560"/>
        <w:gridCol w:w="5843"/>
        <w:gridCol w:w="1482"/>
        <w:gridCol w:w="809"/>
      </w:tblGrid>
      <w:tr w:rsidR="0039516F" w:rsidRPr="0039516F" w:rsidTr="0039516F">
        <w:trPr>
          <w:trHeight w:val="211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Brckovljani - sjedište Općine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88,7 ha</w:t>
            </w:r>
          </w:p>
        </w:tc>
      </w:tr>
      <w:tr w:rsidR="0039516F" w:rsidRPr="0039516F" w:rsidTr="0039516F">
        <w:trPr>
          <w:trHeight w:val="19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516F" w:rsidRPr="0039516F" w:rsidTr="0039516F">
        <w:trPr>
          <w:trHeight w:val="206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DPU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poslovne zone K1-1 Božjakovina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17,5 ha</w:t>
            </w:r>
          </w:p>
        </w:tc>
      </w:tr>
      <w:tr w:rsidR="0039516F" w:rsidRPr="0039516F" w:rsidTr="0039516F">
        <w:trPr>
          <w:trHeight w:val="394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poslovne zone K1-2 eksploatacijsko polje Lupoglav, površina će se odrediti nakon završetka eksploatacije Božjakovina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17,5 ha</w:t>
            </w:r>
          </w:p>
        </w:tc>
      </w:tr>
      <w:tr w:rsidR="0039516F" w:rsidRPr="0039516F" w:rsidTr="0039516F">
        <w:trPr>
          <w:trHeight w:val="178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gospodarske zone 3 Božjakovina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64,0 ha</w:t>
            </w:r>
          </w:p>
        </w:tc>
      </w:tr>
      <w:tr w:rsidR="0039516F" w:rsidRPr="0039516F" w:rsidTr="0039516F">
        <w:trPr>
          <w:trHeight w:val="18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poslovne zone K1-5 Božjakovina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6,0 ha</w:t>
            </w:r>
          </w:p>
        </w:tc>
      </w:tr>
      <w:tr w:rsidR="0039516F" w:rsidRPr="0039516F" w:rsidTr="0039516F">
        <w:trPr>
          <w:trHeight w:val="197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stambeno - poslovne zone Božjakovina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8,1 ha</w:t>
            </w:r>
          </w:p>
        </w:tc>
      </w:tr>
      <w:tr w:rsidR="0039516F" w:rsidRPr="0039516F" w:rsidTr="0039516F">
        <w:trPr>
          <w:trHeight w:val="211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poslovne zone K1-4 Gornje Dvorišće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15,9 ha</w:t>
            </w:r>
          </w:p>
        </w:tc>
      </w:tr>
      <w:tr w:rsidR="0039516F" w:rsidRPr="0039516F" w:rsidTr="0039516F">
        <w:trPr>
          <w:trHeight w:val="19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DPU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proširenja groblja Brckovljani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4,8 ha</w:t>
            </w:r>
          </w:p>
        </w:tc>
      </w:tr>
      <w:tr w:rsidR="0039516F" w:rsidRPr="0039516F" w:rsidTr="0039516F">
        <w:trPr>
          <w:trHeight w:val="178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DPU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proširenja groblja Lupoglav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1,1 ha</w:t>
            </w:r>
          </w:p>
        </w:tc>
      </w:tr>
      <w:tr w:rsidR="0039516F" w:rsidRPr="0039516F" w:rsidTr="0039516F">
        <w:trPr>
          <w:trHeight w:val="211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gospodarske zone Lupoglav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11,5 ha</w:t>
            </w:r>
          </w:p>
        </w:tc>
      </w:tr>
      <w:tr w:rsidR="0039516F" w:rsidRPr="0039516F" w:rsidTr="0039516F">
        <w:trPr>
          <w:trHeight w:val="19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gospodarske zone Stančić 1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10,3 ha</w:t>
            </w:r>
          </w:p>
        </w:tc>
      </w:tr>
      <w:tr w:rsidR="0039516F" w:rsidRPr="0039516F" w:rsidTr="0039516F">
        <w:trPr>
          <w:trHeight w:val="187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gospodarske zone Stančić 2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22,5 ha</w:t>
            </w:r>
          </w:p>
        </w:tc>
      </w:tr>
      <w:tr w:rsidR="0039516F" w:rsidRPr="0039516F" w:rsidTr="0039516F">
        <w:trPr>
          <w:trHeight w:val="230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UPU</w:t>
            </w:r>
          </w:p>
        </w:tc>
        <w:tc>
          <w:tcPr>
            <w:tcW w:w="63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gospodarske zone Stančić 3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površine cca.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11,0 ha</w:t>
            </w:r>
          </w:p>
        </w:tc>
      </w:tr>
    </w:tbl>
    <w:p w:rsidR="0039516F" w:rsidRPr="0039516F" w:rsidRDefault="0039516F" w:rsidP="0039516F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ZAVRŠNE ODREDBE</w:t>
      </w:r>
    </w:p>
    <w:p w:rsidR="0039516F" w:rsidRPr="0039516F" w:rsidRDefault="0039516F" w:rsidP="0039516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46.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objave u Službenog glasnik Općine Brckovljani.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9516F" w:rsidRPr="0039516F" w:rsidTr="0039516F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9516F" w:rsidRPr="0039516F" w:rsidRDefault="0039516F" w:rsidP="00395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9516F" w:rsidRPr="0039516F" w:rsidRDefault="0039516F" w:rsidP="00395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6F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9516F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9516F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9516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951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39516F">
        <w:rPr>
          <w:rFonts w:ascii="Arial" w:eastAsia="Times New Roman" w:hAnsi="Arial" w:cs="Arial"/>
          <w:color w:val="000000"/>
          <w:sz w:val="20"/>
        </w:rPr>
        <w:t> </w:t>
      </w:r>
      <w:r w:rsidRPr="0039516F">
        <w:rPr>
          <w:rFonts w:ascii="Arial" w:eastAsia="Times New Roman" w:hAnsi="Arial" w:cs="Arial"/>
          <w:color w:val="000000"/>
          <w:sz w:val="20"/>
          <w:szCs w:val="20"/>
        </w:rPr>
        <w:t>021-05/09-01/24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39516F">
        <w:rPr>
          <w:rFonts w:ascii="Arial" w:eastAsia="Times New Roman" w:hAnsi="Arial" w:cs="Arial"/>
          <w:color w:val="000000"/>
          <w:sz w:val="20"/>
        </w:rPr>
        <w:t> </w:t>
      </w:r>
      <w:r w:rsidRPr="0039516F">
        <w:rPr>
          <w:rFonts w:ascii="Arial" w:eastAsia="Times New Roman" w:hAnsi="Arial" w:cs="Arial"/>
          <w:color w:val="000000"/>
          <w:sz w:val="20"/>
          <w:szCs w:val="20"/>
        </w:rPr>
        <w:t>238/04-09-4</w:t>
      </w:r>
    </w:p>
    <w:p w:rsidR="0039516F" w:rsidRPr="0039516F" w:rsidRDefault="0039516F" w:rsidP="0039516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516F">
        <w:rPr>
          <w:rFonts w:ascii="Arial" w:eastAsia="Times New Roman" w:hAnsi="Arial" w:cs="Arial"/>
          <w:color w:val="000000"/>
          <w:sz w:val="20"/>
          <w:szCs w:val="20"/>
        </w:rPr>
        <w:t>Brckovljani, 07.04.2009.</w:t>
      </w:r>
    </w:p>
    <w:p w:rsidR="001569F9" w:rsidRDefault="001569F9"/>
    <w:sectPr w:rsidR="0015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9516F"/>
    <w:rsid w:val="001569F9"/>
    <w:rsid w:val="0039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3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516F"/>
  </w:style>
  <w:style w:type="paragraph" w:styleId="NormalWeb">
    <w:name w:val="Normal (Web)"/>
    <w:basedOn w:val="Normal"/>
    <w:uiPriority w:val="99"/>
    <w:unhideWhenUsed/>
    <w:rsid w:val="003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2699</Words>
  <Characters>15389</Characters>
  <Application>Microsoft Office Word</Application>
  <DocSecurity>0</DocSecurity>
  <Lines>128</Lines>
  <Paragraphs>36</Paragraphs>
  <ScaleCrop>false</ScaleCrop>
  <Company/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2016-07-21T09:41:00Z</dcterms:created>
  <dcterms:modified xsi:type="dcterms:W3CDTF">2016-07-21T09:41:00Z</dcterms:modified>
</cp:coreProperties>
</file>